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300" w:lineRule="auto"/>
        <w:ind w:firstLine="720" w:firstLineChars="200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推荐信息汇总表</w:t>
      </w:r>
    </w:p>
    <w:p>
      <w:pPr>
        <w:overflowPunct w:val="0"/>
        <w:adjustRightInd w:val="0"/>
        <w:snapToGrid w:val="0"/>
        <w:jc w:val="left"/>
        <w:rPr>
          <w:rFonts w:eastAsia="仿宋_GB2312"/>
          <w:sz w:val="24"/>
          <w:szCs w:val="32"/>
        </w:rPr>
      </w:pPr>
      <w:r>
        <w:rPr>
          <w:rFonts w:eastAsia="仿宋_GB2312"/>
          <w:bCs/>
          <w:kern w:val="0"/>
          <w:sz w:val="28"/>
          <w:szCs w:val="28"/>
        </w:rPr>
        <w:t>选送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>学院</w:t>
      </w:r>
      <w:r>
        <w:rPr>
          <w:rFonts w:eastAsia="仿宋_GB2312"/>
          <w:bCs/>
          <w:kern w:val="0"/>
          <w:sz w:val="28"/>
          <w:szCs w:val="28"/>
        </w:rPr>
        <w:t xml:space="preserve">  （公章）：</w:t>
      </w:r>
      <w:r>
        <w:rPr>
          <w:rFonts w:eastAsia="仿宋_GB2312"/>
          <w:bCs/>
          <w:sz w:val="32"/>
          <w:szCs w:val="32"/>
        </w:rPr>
        <w:t xml:space="preserve">      </w:t>
      </w:r>
      <w:r>
        <w:rPr>
          <w:rFonts w:eastAsia="仿宋_GB2312"/>
          <w:sz w:val="24"/>
          <w:szCs w:val="32"/>
        </w:rPr>
        <w:t xml:space="preserve">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45"/>
        <w:gridCol w:w="1126"/>
        <w:gridCol w:w="863"/>
        <w:gridCol w:w="863"/>
        <w:gridCol w:w="923"/>
        <w:gridCol w:w="683"/>
        <w:gridCol w:w="68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12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选送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主题活动内容</w:t>
            </w:r>
          </w:p>
        </w:tc>
        <w:tc>
          <w:tcPr>
            <w:tcW w:w="6379" w:type="dxa"/>
            <w:gridSpan w:val="5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作者基本信息</w:t>
            </w:r>
          </w:p>
        </w:tc>
        <w:tc>
          <w:tcPr>
            <w:tcW w:w="218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作品名称及主题（短视频、短音频需标注宣传的资助政策项目名称）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作者姓名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所处学段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>学校名称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32"/>
                <w:lang w:val="en-US" w:eastAsia="zh-CN"/>
              </w:rPr>
              <w:t>年级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专业</w:t>
            </w:r>
          </w:p>
        </w:tc>
        <w:tc>
          <w:tcPr>
            <w:tcW w:w="2187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87" w:type="dxa"/>
            <w:shd w:val="clear" w:color="auto" w:fill="auto"/>
            <w:noWrap w:val="0"/>
            <w:vAlign w:val="center"/>
          </w:tcPr>
          <w:p>
            <w:pPr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填表说明：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主题活动内容：主题短视频、短音频、主题书法、资助育人好故事；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作者基本信息：根据创作者信息填写，以单位名义创作的无需填写；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所处学段：根据作者就读信息（资助育人好故事根据就职信息）填写小学、初中、高中、中职、本专科或研究生；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专业：中职学校和高校学生填写；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作品名称：要求2</w:t>
      </w:r>
      <w:bookmarkStart w:id="0" w:name="_GoBack"/>
      <w:bookmarkEnd w:id="0"/>
      <w:r>
        <w:rPr>
          <w:rFonts w:eastAsia="仿宋_GB2312"/>
          <w:sz w:val="24"/>
          <w:szCs w:val="32"/>
        </w:rPr>
        <w:t>0字以内；</w:t>
      </w:r>
    </w:p>
    <w:p>
      <w:pPr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eastAsia="仿宋_GB2312"/>
          <w:sz w:val="24"/>
          <w:szCs w:val="32"/>
        </w:rPr>
        <w:tab/>
      </w:r>
      <w:r>
        <w:rPr>
          <w:rFonts w:eastAsia="仿宋_GB2312"/>
          <w:sz w:val="24"/>
          <w:szCs w:val="32"/>
        </w:rPr>
        <w:t>本表需选送</w:t>
      </w:r>
      <w:r>
        <w:rPr>
          <w:rFonts w:hint="eastAsia" w:eastAsia="仿宋_GB2312"/>
          <w:sz w:val="24"/>
          <w:szCs w:val="32"/>
          <w:lang w:val="en-US" w:eastAsia="zh-CN"/>
        </w:rPr>
        <w:t>学院</w:t>
      </w:r>
      <w:r>
        <w:rPr>
          <w:rFonts w:eastAsia="仿宋_GB2312"/>
          <w:sz w:val="24"/>
          <w:szCs w:val="32"/>
        </w:rPr>
        <w:t>加盖公章，同时报送纸质版和电子版。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19BB"/>
    <w:rsid w:val="16A519BB"/>
    <w:rsid w:val="3E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2020-08-21T05:10:00Z</dcterms:created>
  <dc:creator>小小苏麻麻</dc:creator>
  <cp:lastModifiedBy>小小苏麻麻</cp:lastModifiedBy>
  <dcterms:modified xsi:type="dcterms:W3CDTF">2020-08-21T05:53:49Z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